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A3EC05"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40A241BA" w14:textId="0D3CFCE3" w:rsidR="008C469B" w:rsidRPr="003F77BD" w:rsidRDefault="008C469B" w:rsidP="0028111B">
      <w:pPr>
        <w:rPr>
          <w:bCs/>
          <w:sz w:val="24"/>
        </w:rPr>
      </w:pPr>
      <w:r>
        <w:rPr>
          <w:b/>
          <w:sz w:val="24"/>
        </w:rPr>
        <w:t>TO:</w:t>
      </w:r>
      <w:r>
        <w:rPr>
          <w:b/>
          <w:sz w:val="24"/>
        </w:rPr>
        <w:tab/>
      </w:r>
      <w:r>
        <w:rPr>
          <w:b/>
          <w:sz w:val="24"/>
        </w:rPr>
        <w:tab/>
      </w:r>
      <w:r w:rsidR="003F77BD">
        <w:rPr>
          <w:bCs/>
          <w:sz w:val="24"/>
        </w:rPr>
        <w:t xml:space="preserve">Chairman Peter Lake </w:t>
      </w:r>
      <w:r w:rsidR="003F77BD">
        <w:rPr>
          <w:bCs/>
          <w:sz w:val="24"/>
        </w:rPr>
        <w:br/>
      </w:r>
      <w:r w:rsidR="003F77BD">
        <w:rPr>
          <w:bCs/>
          <w:sz w:val="24"/>
        </w:rPr>
        <w:tab/>
      </w:r>
      <w:r w:rsidR="003F77BD">
        <w:rPr>
          <w:bCs/>
          <w:sz w:val="24"/>
        </w:rPr>
        <w:tab/>
        <w:t>Commissioner Will McAdams</w:t>
      </w:r>
      <w:r w:rsidR="003F77BD">
        <w:rPr>
          <w:bCs/>
          <w:sz w:val="24"/>
        </w:rPr>
        <w:br/>
      </w:r>
      <w:r w:rsidR="003F77BD">
        <w:rPr>
          <w:bCs/>
          <w:sz w:val="24"/>
        </w:rPr>
        <w:tab/>
      </w:r>
      <w:r w:rsidR="003F77BD">
        <w:rPr>
          <w:bCs/>
          <w:sz w:val="24"/>
        </w:rPr>
        <w:tab/>
        <w:t>Commissioner Lori Cobos</w:t>
      </w:r>
      <w:r w:rsidR="003F77BD">
        <w:rPr>
          <w:bCs/>
          <w:sz w:val="24"/>
        </w:rPr>
        <w:br/>
      </w:r>
      <w:r w:rsidR="003F77BD">
        <w:rPr>
          <w:bCs/>
          <w:sz w:val="24"/>
        </w:rPr>
        <w:tab/>
      </w:r>
      <w:r w:rsidR="003F77BD">
        <w:rPr>
          <w:bCs/>
          <w:sz w:val="24"/>
        </w:rPr>
        <w:tab/>
        <w:t xml:space="preserve">Commissioner Jimmy Glotfelty </w:t>
      </w:r>
    </w:p>
    <w:p w14:paraId="2BC0421B" w14:textId="77777777" w:rsidR="008C469B" w:rsidRDefault="008C469B" w:rsidP="008C469B">
      <w:pPr>
        <w:tabs>
          <w:tab w:val="left" w:pos="1170"/>
        </w:tabs>
        <w:rPr>
          <w:sz w:val="24"/>
        </w:rPr>
      </w:pPr>
      <w:r>
        <w:rPr>
          <w:sz w:val="24"/>
        </w:rPr>
        <w:tab/>
      </w:r>
      <w:r>
        <w:rPr>
          <w:sz w:val="24"/>
        </w:rPr>
        <w:tab/>
      </w:r>
    </w:p>
    <w:p w14:paraId="09B4CEDE" w14:textId="35963355" w:rsidR="008C469B" w:rsidRPr="003F77BD" w:rsidRDefault="008C469B" w:rsidP="008C469B">
      <w:pPr>
        <w:tabs>
          <w:tab w:val="left" w:pos="1170"/>
        </w:tabs>
        <w:outlineLvl w:val="0"/>
        <w:rPr>
          <w:bCs/>
          <w:sz w:val="24"/>
        </w:rPr>
      </w:pPr>
      <w:r>
        <w:rPr>
          <w:b/>
          <w:sz w:val="24"/>
        </w:rPr>
        <w:t>FROM:</w:t>
      </w:r>
      <w:r>
        <w:rPr>
          <w:b/>
          <w:sz w:val="24"/>
        </w:rPr>
        <w:tab/>
      </w:r>
      <w:r>
        <w:rPr>
          <w:b/>
          <w:sz w:val="24"/>
        </w:rPr>
        <w:tab/>
      </w:r>
      <w:r w:rsidR="00DF6463">
        <w:rPr>
          <w:bCs/>
          <w:sz w:val="24"/>
        </w:rPr>
        <w:t>Barksdale English, Director, Division of Compli</w:t>
      </w:r>
      <w:r w:rsidR="00F27896">
        <w:rPr>
          <w:bCs/>
          <w:sz w:val="24"/>
        </w:rPr>
        <w:t>ance and Enforcement</w:t>
      </w:r>
      <w:r w:rsidR="003F77BD">
        <w:rPr>
          <w:bCs/>
          <w:sz w:val="24"/>
        </w:rPr>
        <w:t xml:space="preserve"> </w:t>
      </w:r>
    </w:p>
    <w:p w14:paraId="1B330CB4" w14:textId="3C42DC4D" w:rsidR="0028111B" w:rsidRPr="003F77BD" w:rsidRDefault="008C469B" w:rsidP="008C469B">
      <w:pPr>
        <w:tabs>
          <w:tab w:val="left" w:pos="1170"/>
        </w:tabs>
        <w:spacing w:before="240"/>
        <w:rPr>
          <w:bCs/>
          <w:sz w:val="24"/>
        </w:rPr>
      </w:pPr>
      <w:r>
        <w:rPr>
          <w:b/>
          <w:sz w:val="24"/>
        </w:rPr>
        <w:t>DATE:</w:t>
      </w:r>
      <w:r>
        <w:rPr>
          <w:b/>
          <w:sz w:val="24"/>
        </w:rPr>
        <w:tab/>
      </w:r>
      <w:r>
        <w:rPr>
          <w:b/>
          <w:sz w:val="24"/>
        </w:rPr>
        <w:tab/>
      </w:r>
      <w:r w:rsidR="00DF6463">
        <w:rPr>
          <w:bCs/>
          <w:sz w:val="24"/>
          <w:highlight w:val="yellow"/>
        </w:rPr>
        <w:t>October 18</w:t>
      </w:r>
      <w:r w:rsidR="003F77BD" w:rsidRPr="00106AE8">
        <w:rPr>
          <w:bCs/>
          <w:sz w:val="24"/>
          <w:highlight w:val="yellow"/>
        </w:rPr>
        <w:t>, 2021</w:t>
      </w:r>
      <w:r w:rsidR="003F77BD">
        <w:rPr>
          <w:bCs/>
          <w:sz w:val="24"/>
        </w:rPr>
        <w:br/>
      </w:r>
    </w:p>
    <w:p w14:paraId="107B1C80" w14:textId="4B3DF3B9" w:rsidR="008C469B" w:rsidRDefault="008C469B" w:rsidP="008C469B">
      <w:pPr>
        <w:ind w:left="1440" w:right="-450" w:hanging="1440"/>
        <w:rPr>
          <w:b/>
          <w:i/>
          <w:sz w:val="24"/>
          <w:szCs w:val="24"/>
        </w:rPr>
      </w:pPr>
      <w:r>
        <w:rPr>
          <w:b/>
          <w:sz w:val="24"/>
        </w:rPr>
        <w:t>RE:</w:t>
      </w:r>
      <w:r w:rsidR="003F77BD">
        <w:rPr>
          <w:b/>
          <w:sz w:val="24"/>
        </w:rPr>
        <w:tab/>
      </w:r>
      <w:r w:rsidR="00106AE8">
        <w:rPr>
          <w:bCs/>
          <w:sz w:val="24"/>
        </w:rPr>
        <w:t xml:space="preserve">October </w:t>
      </w:r>
      <w:r w:rsidR="00DF6463">
        <w:rPr>
          <w:bCs/>
          <w:sz w:val="24"/>
        </w:rPr>
        <w:t>21</w:t>
      </w:r>
      <w:r w:rsidR="00106AE8">
        <w:rPr>
          <w:bCs/>
          <w:sz w:val="24"/>
        </w:rPr>
        <w:t>, 2021 Open Meeting</w:t>
      </w:r>
      <w:r w:rsidR="003F77BD">
        <w:rPr>
          <w:bCs/>
          <w:sz w:val="24"/>
        </w:rPr>
        <w:t xml:space="preserve"> – </w:t>
      </w:r>
      <w:r w:rsidR="003F77BD" w:rsidRPr="00106AE8">
        <w:rPr>
          <w:bCs/>
          <w:sz w:val="24"/>
          <w:highlight w:val="yellow"/>
        </w:rPr>
        <w:t>Agenda Item No. 1</w:t>
      </w:r>
      <w:r w:rsidR="003F77BD">
        <w:rPr>
          <w:bCs/>
          <w:sz w:val="24"/>
        </w:rPr>
        <w:t xml:space="preserve"> </w:t>
      </w:r>
      <w:r w:rsidR="003F77BD">
        <w:rPr>
          <w:bCs/>
          <w:sz w:val="24"/>
        </w:rPr>
        <w:br/>
        <w:t>Project No. 51840</w:t>
      </w:r>
      <w:r w:rsidR="00754C3A">
        <w:rPr>
          <w:bCs/>
          <w:sz w:val="24"/>
        </w:rPr>
        <w:t>,</w:t>
      </w:r>
      <w:r w:rsidR="003F77BD">
        <w:rPr>
          <w:bCs/>
          <w:sz w:val="24"/>
        </w:rPr>
        <w:t xml:space="preserve"> </w:t>
      </w:r>
      <w:r w:rsidR="003F77BD">
        <w:rPr>
          <w:bCs/>
          <w:i/>
          <w:iCs/>
          <w:sz w:val="24"/>
        </w:rPr>
        <w:t>Rulemaking to Establish Electric Weatherization Standards</w:t>
      </w:r>
      <w:r>
        <w:rPr>
          <w:b/>
          <w:sz w:val="24"/>
        </w:rPr>
        <w:tab/>
      </w:r>
    </w:p>
    <w:p w14:paraId="5E011C6F" w14:textId="77777777" w:rsidR="008C469B" w:rsidRDefault="0028111B" w:rsidP="008C469B">
      <w:pPr>
        <w:tabs>
          <w:tab w:val="left" w:pos="1170"/>
        </w:tabs>
        <w:ind w:left="1170" w:right="-450" w:hanging="1170"/>
        <w:rPr>
          <w:sz w:val="24"/>
        </w:rPr>
      </w:pPr>
      <w:r>
        <w:rPr>
          <w:noProof/>
        </w:rPr>
        <mc:AlternateContent>
          <mc:Choice Requires="wps">
            <w:drawing>
              <wp:anchor distT="4294967289" distB="4294967289" distL="114300" distR="114300" simplePos="0" relativeHeight="251658240" behindDoc="0" locked="0" layoutInCell="1" allowOverlap="1" wp14:anchorId="38B448C4" wp14:editId="77586BC1">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0AABE0"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Pr>
          <w:sz w:val="24"/>
        </w:rPr>
        <w:tab/>
      </w:r>
    </w:p>
    <w:p w14:paraId="6BACC888" w14:textId="77777777" w:rsidR="008C469B" w:rsidRDefault="008C469B" w:rsidP="008C469B">
      <w:pPr>
        <w:jc w:val="both"/>
        <w:rPr>
          <w:strike/>
          <w:sz w:val="24"/>
        </w:rPr>
      </w:pPr>
    </w:p>
    <w:p w14:paraId="4AF44CAA" w14:textId="77777777" w:rsidR="00F27896" w:rsidRDefault="00754C3A" w:rsidP="00F27896">
      <w:pPr>
        <w:tabs>
          <w:tab w:val="left" w:pos="1170"/>
        </w:tabs>
        <w:spacing w:after="120"/>
        <w:jc w:val="both"/>
        <w:rPr>
          <w:sz w:val="24"/>
        </w:rPr>
      </w:pPr>
      <w:r>
        <w:rPr>
          <w:sz w:val="24"/>
        </w:rPr>
        <w:t>Please find attached to this memorandum Commission Staff’s proposal for</w:t>
      </w:r>
      <w:r w:rsidR="00106AE8">
        <w:rPr>
          <w:sz w:val="24"/>
        </w:rPr>
        <w:t xml:space="preserve"> adoption</w:t>
      </w:r>
      <w:r>
        <w:rPr>
          <w:sz w:val="24"/>
        </w:rPr>
        <w:t xml:space="preserve"> </w:t>
      </w:r>
      <w:r w:rsidR="00F27896">
        <w:rPr>
          <w:sz w:val="24"/>
        </w:rPr>
        <w:t xml:space="preserve">(PFA) </w:t>
      </w:r>
      <w:r>
        <w:rPr>
          <w:sz w:val="24"/>
        </w:rPr>
        <w:t>in the above-referenced project</w:t>
      </w:r>
      <w:r w:rsidR="00DF6463">
        <w:rPr>
          <w:sz w:val="24"/>
        </w:rPr>
        <w:t xml:space="preserve"> for consideration at the October 21, 2021 Open Meeting.</w:t>
      </w:r>
      <w:r w:rsidR="00F27896">
        <w:rPr>
          <w:sz w:val="24"/>
        </w:rPr>
        <w:t xml:space="preserve">  </w:t>
      </w:r>
    </w:p>
    <w:p w14:paraId="0A89448A" w14:textId="2914438F" w:rsidR="00F27896" w:rsidRDefault="00F27896" w:rsidP="00F27896">
      <w:pPr>
        <w:tabs>
          <w:tab w:val="left" w:pos="1170"/>
        </w:tabs>
        <w:spacing w:after="120"/>
        <w:jc w:val="both"/>
        <w:rPr>
          <w:sz w:val="24"/>
        </w:rPr>
      </w:pPr>
      <w:r>
        <w:rPr>
          <w:sz w:val="24"/>
        </w:rPr>
        <w:t xml:space="preserve">This PFA establishes new §25.55, relating to weather emergency preparedness.  </w:t>
      </w:r>
      <w:r w:rsidRPr="00DF6463">
        <w:rPr>
          <w:spacing w:val="-2"/>
          <w:w w:val="105"/>
          <w:sz w:val="24"/>
          <w:szCs w:val="24"/>
        </w:rPr>
        <w:t xml:space="preserve">Specifically, the rule requires generators to implement winter weather readiness recommendations identified in the 2012 Quanta Technology Report on Extreme Weather Preparedness Best Practices (2012 Quanta Report) and to fix any known, acute issues that arose from winter weather conditions during the 2020–2021 winter weather season.  Similarly, this rule requires </w:t>
      </w:r>
      <w:r>
        <w:rPr>
          <w:spacing w:val="-2"/>
          <w:w w:val="105"/>
          <w:sz w:val="24"/>
          <w:szCs w:val="24"/>
        </w:rPr>
        <w:t>transmission service provider</w:t>
      </w:r>
      <w:r w:rsidRPr="00DF6463">
        <w:rPr>
          <w:spacing w:val="-2"/>
          <w:w w:val="105"/>
          <w:sz w:val="24"/>
          <w:szCs w:val="24"/>
        </w:rPr>
        <w:t>s to implement key recommendations contained in the 2011 Report on Outages and Curtailments During the Southwest Cold Weather Event on February 1-5, 2011, jointly prepared by the Federal Energy Regulatory Commission and the North American Electric Reliability Corporation, and to fix any known, acute issues that arose during the 2020-2021 winter weather season.  Further, this rule requires a notarized attestation from the highest-ranking representative, official, or officer with binding authority over each of the above entities attesting to the completion of all required actions.</w:t>
      </w:r>
    </w:p>
    <w:p w14:paraId="79F1CA87" w14:textId="4F95CD1A" w:rsidR="00DF6463" w:rsidRPr="00DF6463" w:rsidRDefault="00F27896" w:rsidP="00F27896">
      <w:pPr>
        <w:tabs>
          <w:tab w:val="left" w:pos="1170"/>
        </w:tabs>
        <w:spacing w:after="120"/>
        <w:jc w:val="both"/>
        <w:rPr>
          <w:spacing w:val="-2"/>
          <w:w w:val="105"/>
          <w:sz w:val="24"/>
          <w:szCs w:val="24"/>
        </w:rPr>
      </w:pPr>
      <w:r>
        <w:rPr>
          <w:sz w:val="24"/>
        </w:rPr>
        <w:t xml:space="preserve">This project </w:t>
      </w:r>
      <w:r w:rsidR="00DF6463" w:rsidRPr="00DF6463">
        <w:rPr>
          <w:spacing w:val="-2"/>
          <w:w w:val="105"/>
          <w:sz w:val="24"/>
          <w:szCs w:val="24"/>
        </w:rPr>
        <w:t xml:space="preserve">represents the first of two phases in the commission’s development of robust weather emergency preparedness reliability standards and will help ensure that the electric industry is prepared to provide continuous reliable electric service throughout this upcoming winter weather season.  The commission will develop phase two of its weather emergency preparedness reliability standards in a future project.  The phase-two weather emergency preparedness reliability standards will consist of a more comprehensive, year-round set of weather emergency preparedness reliability standards that will be informed by a robust weather study that is currently being conducted by ERCOT in consultation with the Office of the Texas State Climatologist. </w:t>
      </w:r>
    </w:p>
    <w:p w14:paraId="0201C47A" w14:textId="09709726" w:rsidR="0036722D" w:rsidRPr="0036722D" w:rsidRDefault="0036722D" w:rsidP="006D5F45">
      <w:pPr>
        <w:tabs>
          <w:tab w:val="left" w:pos="1170"/>
        </w:tabs>
        <w:spacing w:after="120"/>
        <w:jc w:val="both"/>
        <w:rPr>
          <w:sz w:val="24"/>
        </w:rPr>
      </w:pPr>
      <w:r>
        <w:rPr>
          <w:sz w:val="24"/>
        </w:rPr>
        <w:t xml:space="preserve"> </w:t>
      </w:r>
    </w:p>
    <w:sectPr w:rsidR="0036722D" w:rsidRPr="0036722D"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520A1" w14:textId="77777777" w:rsidR="00F564F2" w:rsidRDefault="00F564F2">
      <w:r>
        <w:separator/>
      </w:r>
    </w:p>
  </w:endnote>
  <w:endnote w:type="continuationSeparator" w:id="0">
    <w:p w14:paraId="26B92FC5" w14:textId="77777777" w:rsidR="00F564F2" w:rsidRDefault="00F56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F58BF9" w14:textId="77777777" w:rsidR="00F564F2" w:rsidRDefault="00F564F2">
      <w:r>
        <w:separator/>
      </w:r>
    </w:p>
  </w:footnote>
  <w:footnote w:type="continuationSeparator" w:id="0">
    <w:p w14:paraId="7CA238F8" w14:textId="77777777" w:rsidR="00F564F2" w:rsidRDefault="00F56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D1D916" w14:textId="77777777" w:rsidR="00DA36E8" w:rsidRDefault="00DA36E8">
    <w:pPr>
      <w:pStyle w:val="Header"/>
      <w:jc w:val="center"/>
      <w:rPr>
        <w:b/>
        <w:i/>
        <w:sz w:val="38"/>
      </w:rPr>
    </w:pPr>
    <w:r>
      <w:rPr>
        <w:b/>
        <w:i/>
        <w:sz w:val="38"/>
      </w:rPr>
      <w:t>Public Utility Commission of Texas</w:t>
    </w:r>
  </w:p>
  <w:p w14:paraId="1D82010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1F6F2452"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A8A97"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attachedTemplate r:id="rId1"/>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7BD"/>
    <w:rsid w:val="00106AE8"/>
    <w:rsid w:val="0028111B"/>
    <w:rsid w:val="00331A03"/>
    <w:rsid w:val="0036722D"/>
    <w:rsid w:val="003F01BA"/>
    <w:rsid w:val="003F77BD"/>
    <w:rsid w:val="005E1D7C"/>
    <w:rsid w:val="006D5F45"/>
    <w:rsid w:val="00754C3A"/>
    <w:rsid w:val="007C6EC4"/>
    <w:rsid w:val="007E4EE0"/>
    <w:rsid w:val="008262FF"/>
    <w:rsid w:val="008C469B"/>
    <w:rsid w:val="009017F4"/>
    <w:rsid w:val="0091083F"/>
    <w:rsid w:val="00A7691E"/>
    <w:rsid w:val="00B56DD2"/>
    <w:rsid w:val="00CC430B"/>
    <w:rsid w:val="00DA36E8"/>
    <w:rsid w:val="00DB50AE"/>
    <w:rsid w:val="00DF6463"/>
    <w:rsid w:val="00E251AF"/>
    <w:rsid w:val="00EA5690"/>
    <w:rsid w:val="00F27896"/>
    <w:rsid w:val="00F564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968C7F"/>
  <w15:chartTrackingRefBased/>
  <w15:docId w15:val="{889F8E31-0AAD-4231-9623-718EFB9C7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469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PUCMEM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PUCMEMO</Template>
  <TotalTime>650</TotalTime>
  <Pages>1</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Kristin Abbott</dc:creator>
  <cp:keywords/>
  <cp:lastModifiedBy>David Smeltzer</cp:lastModifiedBy>
  <cp:revision>3</cp:revision>
  <cp:lastPrinted>2014-10-31T15:06:00Z</cp:lastPrinted>
  <dcterms:created xsi:type="dcterms:W3CDTF">2021-10-19T00:54:00Z</dcterms:created>
  <dcterms:modified xsi:type="dcterms:W3CDTF">2021-10-19T11:42:00Z</dcterms:modified>
</cp:coreProperties>
</file>